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FF5E9" w14:textId="77777777" w:rsidR="0034101B" w:rsidRDefault="007112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91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13C95938" wp14:editId="2E706D45">
            <wp:extent cx="694877" cy="6870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877" cy="687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B9CA81" w14:textId="77777777" w:rsidR="0034101B" w:rsidRDefault="007112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Planning Board Workshop </w:t>
      </w:r>
    </w:p>
    <w:p w14:paraId="039A8F0F" w14:textId="77777777" w:rsidR="0034101B" w:rsidRDefault="00711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980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Agenda </w:t>
      </w:r>
    </w:p>
    <w:p w14:paraId="5B6EDDE8" w14:textId="77777777" w:rsidR="0034101B" w:rsidRDefault="00711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2772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October 26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, 2021 – 6:30 - 8:</w:t>
      </w:r>
      <w:r>
        <w:rPr>
          <w:rFonts w:ascii="Calibri" w:eastAsia="Calibri" w:hAnsi="Calibri" w:cs="Calibri"/>
          <w:b/>
          <w:sz w:val="28"/>
          <w:szCs w:val="28"/>
        </w:rPr>
        <w:t>00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PM </w:t>
      </w:r>
    </w:p>
    <w:p w14:paraId="4743F49B" w14:textId="17F382E1" w:rsidR="0034101B" w:rsidRDefault="00711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0" w:line="240" w:lineRule="auto"/>
        <w:ind w:left="2323"/>
        <w:rPr>
          <w:rFonts w:ascii="Calibri" w:eastAsia="Calibri" w:hAnsi="Calibri" w:cs="Calibri"/>
          <w:b/>
          <w:color w:val="00000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Wescustogo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Hall &amp; Community Center </w:t>
      </w:r>
    </w:p>
    <w:p w14:paraId="5C8153E6" w14:textId="19531ABE" w:rsidR="007112AF" w:rsidRDefault="007112AF" w:rsidP="00711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9" w:line="240" w:lineRule="auto"/>
        <w:contextualSpacing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24359FB3" w14:textId="383C641A" w:rsidR="007112AF" w:rsidRDefault="007112AF" w:rsidP="00711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9" w:line="240" w:lineRule="auto"/>
        <w:contextualSpacing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FD91D9F" w14:textId="77777777" w:rsidR="007112AF" w:rsidRPr="007112AF" w:rsidRDefault="007112AF" w:rsidP="00711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9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</w:p>
    <w:p w14:paraId="3CEDAB1A" w14:textId="2E21CEFA" w:rsidR="007112AF" w:rsidRDefault="007112A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59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Broadcasting Reminders </w:t>
      </w:r>
    </w:p>
    <w:p w14:paraId="150BCAA8" w14:textId="47525758" w:rsidR="0034101B" w:rsidRDefault="007112A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59" w:line="240" w:lineRule="auto"/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Land Use Ordinance Discussion </w:t>
      </w:r>
    </w:p>
    <w:p w14:paraId="006A5B8A" w14:textId="53979308" w:rsidR="0034101B" w:rsidRDefault="007112A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Revise application submission procedures regarding submittal date for returning projects </w:t>
      </w:r>
    </w:p>
    <w:p w14:paraId="0B465BB5" w14:textId="77777777" w:rsidR="0034101B" w:rsidRDefault="007112A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Open Space References </w:t>
      </w:r>
    </w:p>
    <w:p w14:paraId="2538E66E" w14:textId="77777777" w:rsidR="0034101B" w:rsidRDefault="007112A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Setback Review </w:t>
      </w:r>
    </w:p>
    <w:p w14:paraId="12ECC75E" w14:textId="77777777" w:rsidR="0034101B" w:rsidRDefault="007112A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Remote Meeting P</w:t>
      </w:r>
      <w:r>
        <w:rPr>
          <w:rFonts w:ascii="Calibri" w:eastAsia="Calibri" w:hAnsi="Calibri" w:cs="Calibri"/>
          <w:sz w:val="24"/>
          <w:szCs w:val="24"/>
        </w:rPr>
        <w:t>olicy input</w:t>
      </w:r>
    </w:p>
    <w:p w14:paraId="20A9223A" w14:textId="77777777" w:rsidR="0034101B" w:rsidRDefault="007112A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Administrative Items</w:t>
      </w:r>
    </w:p>
    <w:p w14:paraId="1392C854" w14:textId="77777777" w:rsidR="0034101B" w:rsidRDefault="007112A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RFP for Planning Consulting Services</w:t>
      </w:r>
    </w:p>
    <w:p w14:paraId="011BF1A9" w14:textId="77777777" w:rsidR="0034101B" w:rsidRDefault="007112A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Meeting/Workshop attendance notification</w:t>
      </w:r>
    </w:p>
    <w:p w14:paraId="28127F87" w14:textId="77777777" w:rsidR="0034101B" w:rsidRDefault="007112A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Checking Email</w:t>
      </w:r>
    </w:p>
    <w:p w14:paraId="68B336CB" w14:textId="77777777" w:rsidR="0034101B" w:rsidRDefault="007112A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preparation - Checklists/Ordinance review</w:t>
      </w:r>
    </w:p>
    <w:p w14:paraId="3E4A0827" w14:textId="77777777" w:rsidR="0034101B" w:rsidRDefault="007112A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Upcoming Planning Board and Select Board meetings</w:t>
      </w:r>
    </w:p>
    <w:p w14:paraId="3927840E" w14:textId="77777777" w:rsidR="0034101B" w:rsidRDefault="00711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9" w:line="240" w:lineRule="auto"/>
        <w:ind w:left="3851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Mission Statement </w:t>
      </w:r>
    </w:p>
    <w:p w14:paraId="3C01D64B" w14:textId="77777777" w:rsidR="0034101B" w:rsidRDefault="00711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3" w:lineRule="auto"/>
        <w:ind w:left="137" w:right="186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The North Yarmouth Planning Board is a volunteer board composed of members of the North Yarmouth community. The Board is charged with reviewing applications for development within the town and making decisions by applying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the  Town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of North Yarmouth Land Use Ordinance and applicable State of Maine Statutes. </w:t>
      </w:r>
    </w:p>
    <w:p w14:paraId="2D86C07B" w14:textId="77777777" w:rsidR="0034101B" w:rsidRDefault="00711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3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In addition to application review, the Planning Board periodically reviews the </w:t>
      </w:r>
      <w:r>
        <w:rPr>
          <w:rFonts w:ascii="Calibri" w:eastAsia="Calibri" w:hAnsi="Calibri" w:cs="Calibri"/>
          <w:color w:val="0563C1"/>
          <w:sz w:val="18"/>
          <w:szCs w:val="18"/>
          <w:u w:val="single"/>
        </w:rPr>
        <w:t xml:space="preserve">Land Use Ordinance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and recommends changes to support the </w:t>
      </w:r>
      <w:r>
        <w:rPr>
          <w:rFonts w:ascii="Calibri" w:eastAsia="Calibri" w:hAnsi="Calibri" w:cs="Calibri"/>
          <w:color w:val="0563C1"/>
          <w:sz w:val="18"/>
          <w:szCs w:val="18"/>
          <w:u w:val="single"/>
        </w:rPr>
        <w:t xml:space="preserve">Comprehensive Plan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and foster sustainable development. The goal is to keep North Yarmouth a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safe,  peaceful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, healthful, attractive, and economically successful community. </w:t>
      </w:r>
    </w:p>
    <w:p w14:paraId="2593023B" w14:textId="77777777" w:rsidR="0034101B" w:rsidRDefault="00711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423" w:lineRule="auto"/>
        <w:ind w:left="86" w:right="186"/>
        <w:jc w:val="center"/>
        <w:rPr>
          <w:rFonts w:ascii="Calibri" w:eastAsia="Calibri" w:hAnsi="Calibri" w:cs="Calibri"/>
          <w:i/>
          <w:color w:val="585858"/>
          <w:sz w:val="19"/>
          <w:szCs w:val="19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Applicants can expect efficient, fair, thoughtful, impartial decisions and respectful treatment by all members of the Board. </w:t>
      </w:r>
      <w:r>
        <w:rPr>
          <w:rFonts w:ascii="Calibri" w:eastAsia="Calibri" w:hAnsi="Calibri" w:cs="Calibri"/>
          <w:i/>
          <w:color w:val="585858"/>
          <w:sz w:val="19"/>
          <w:szCs w:val="19"/>
        </w:rPr>
        <w:t xml:space="preserve">Town of North Yarmouth Page 1 </w:t>
      </w:r>
    </w:p>
    <w:sectPr w:rsidR="0034101B">
      <w:pgSz w:w="12240" w:h="15840"/>
      <w:pgMar w:top="138" w:right="1576" w:bottom="501" w:left="148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C12D9"/>
    <w:multiLevelType w:val="multilevel"/>
    <w:tmpl w:val="88FCBB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1B"/>
    <w:rsid w:val="000670F7"/>
    <w:rsid w:val="0034101B"/>
    <w:rsid w:val="007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5831A"/>
  <w15:docId w15:val="{F82291D6-C0DB-466E-A116-BF1D57C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1109</Characters>
  <Application>Microsoft Office Word</Application>
  <DocSecurity>4</DocSecurity>
  <Lines>158</Lines>
  <Paragraphs>69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Cox</dc:creator>
  <cp:lastModifiedBy>Tracey Cox</cp:lastModifiedBy>
  <cp:revision>2</cp:revision>
  <dcterms:created xsi:type="dcterms:W3CDTF">2021-10-18T18:09:00Z</dcterms:created>
  <dcterms:modified xsi:type="dcterms:W3CDTF">2021-10-18T18:09:00Z</dcterms:modified>
</cp:coreProperties>
</file>